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F058D" w14:textId="77777777" w:rsidR="00D22989" w:rsidRPr="00D22989" w:rsidRDefault="00D22989" w:rsidP="00D22989">
      <w:pPr>
        <w:pStyle w:val="Titel"/>
        <w:rPr>
          <w:b/>
          <w:bCs/>
          <w:lang w:val="en-GB"/>
        </w:rPr>
      </w:pPr>
      <w:r>
        <w:rPr>
          <w:b/>
          <w:color w:val="1F4E79"/>
          <w:sz w:val="46"/>
        </w:rPr>
        <w:t>BeCom Community Gardening – Recommended Evaluation and Assessment Tools</w:t>
      </w:r>
    </w:p>
    <w:p w14:paraId="7954C743" w14:textId="77777777" w:rsidR="00D22989" w:rsidRPr="00D22989" w:rsidRDefault="00D22989" w:rsidP="00D22989">
      <w:pPr>
        <w:rPr>
          <w:lang w:val="en-GB"/>
        </w:rPr>
      </w:pPr>
      <w:r>
        <w:t>In the BeCom project, Community Gardening is one of the three thematic educational portfolios. This document complements the Community Gardening online courses and pilot evaluation by providing a clear assessment structure and a selection of practical external tools and methodologies that can support learning, self-evaluation and the assessment of real or planned community gardening initiatives.</w:t>
      </w:r>
    </w:p>
    <w:p w14:paraId="446D5BC3" w14:textId="77777777" w:rsidR="00D22989" w:rsidRPr="00D22989" w:rsidRDefault="00D22989" w:rsidP="00D22989">
      <w:pPr>
        <w:rPr>
          <w:lang w:val="en-GB"/>
        </w:rPr>
      </w:pPr>
      <w:r>
        <w:t>The Community Gardening assessment approach combines three complementary levels:</w:t>
      </w:r>
    </w:p>
    <w:p w14:paraId="32661C96" w14:textId="77777777" w:rsidR="00D22989" w:rsidRPr="00D22989" w:rsidRDefault="00D22989" w:rsidP="00D22989">
      <w:pPr>
        <w:numPr>
          <w:ilvl w:val="0"/>
          <w:numId w:val="1"/>
        </w:numPr>
        <w:rPr>
          <w:lang w:val="en-GB"/>
        </w:rPr>
      </w:pPr>
      <w:r>
        <w:t>Knowledge Assessment: Each Community Gardening online course includes a Final Quiz to assess the learner’s understanding of the course content, including the adapted learning materials and Good Practice examples.</w:t>
      </w:r>
    </w:p>
    <w:p w14:paraId="12636AAE" w14:textId="77777777" w:rsidR="00D22989" w:rsidRPr="00D22989" w:rsidRDefault="00D22989" w:rsidP="00D22989">
      <w:pPr>
        <w:numPr>
          <w:ilvl w:val="0"/>
          <w:numId w:val="2"/>
        </w:numPr>
        <w:rPr>
          <w:lang w:val="en-GB"/>
        </w:rPr>
      </w:pPr>
      <w:r>
        <w:t>Portfolio and Pilot Evaluation: The Community Gardening Pilot Survey is used to collect structured feedback on the portfolio and online learning experience, including accessibility, relevance, usability, inclusiveness, design, interactivity and transfer potential.</w:t>
      </w:r>
    </w:p>
    <w:p w14:paraId="0B0053EE" w14:textId="77777777" w:rsidR="00D22989" w:rsidRPr="00D22989" w:rsidRDefault="00D22989" w:rsidP="00D22989">
      <w:pPr>
        <w:numPr>
          <w:ilvl w:val="0"/>
          <w:numId w:val="3"/>
        </w:numPr>
        <w:rPr>
          <w:lang w:val="en-GB"/>
        </w:rPr>
      </w:pPr>
      <w:r>
        <w:t>Practice-Based Self-Evaluation and Benchmarking: Learners, educators and community organisations can use the external tools listed below to assess an existing or planned community garden, identify strengths and weaknesses, monitor impact and compare their practice with established assessment approaches.</w:t>
      </w:r>
    </w:p>
    <w:p w14:paraId="26A08636" w14:textId="77777777" w:rsidR="00D22989" w:rsidRPr="00D22989" w:rsidRDefault="00D22989" w:rsidP="00D22989">
      <w:pPr>
        <w:numPr>
          <w:ilvl w:val="0"/>
          <w:numId w:val="4"/>
        </w:numPr>
        <w:spacing w:before="200" w:after="120"/>
      </w:pPr>
      <w:r>
        <w:rPr>
          <w:b/>
          <w:color w:val="1F4E79"/>
          <w:sz w:val="34"/>
        </w:rPr>
        <w:t>Recommended External Tools and Resources</w:t>
      </w:r>
    </w:p>
    <w:p w14:paraId="77499AA8" w14:textId="77777777" w:rsidR="00D22989" w:rsidRPr="00D22989" w:rsidRDefault="00D22989" w:rsidP="00D22989">
      <w:pPr>
        <w:rPr>
          <w:lang w:val="en-GB"/>
        </w:rPr>
      </w:pPr>
      <w:r>
        <w:t>The BeCom project promotes an open, inclusive and transferable approach to learning and assessment. The resources below were selected because they are practical and relevant to the Community Gardening Portfolio and address complementary dimensions such as food production, environmental quality, social impact, inclusion, participation and community well-being.</w:t>
      </w:r>
    </w:p>
    <w:p w14:paraId="5DBF2573" w14:textId="77777777" w:rsidR="00D22989" w:rsidRPr="00D22989" w:rsidRDefault="00D22989" w:rsidP="00D22989">
      <w:pPr>
        <w:rPr>
          <w:lang w:val="en-GB"/>
        </w:rPr>
      </w:pPr>
      <w:r>
        <w:rPr>
          <w:i/>
          <w:color w:val="5A5A5A"/>
        </w:rPr>
        <w:t>Use of external resources and copyright: The tools and publications listed below are external resources created by their respective authors and organisations. BeCom may provide multilingual descriptions, learning guidance and links to these resources, but the original external material should remain in the language and format provided by the copyright holder unless explicit permission for translation or adaptation is available.</w:t>
      </w:r>
    </w:p>
    <w:p w14:paraId="090CA7E3" w14:textId="77777777" w:rsidR="00D22989" w:rsidRPr="00D22989" w:rsidRDefault="00D22989" w:rsidP="00D22989">
      <w:pPr>
        <w:numPr>
          <w:ilvl w:val="0"/>
          <w:numId w:val="5"/>
        </w:numPr>
      </w:pPr>
      <w:r w:rsidRPr="00D22989">
        <w:rPr>
          <w:b/>
          <w:bCs/>
          <w:lang w:val="en-GB"/>
        </w:rPr>
        <w:t>Farming Concrete Data Collection Toolkit</w:t>
      </w:r>
      <w:r w:rsidRPr="00D22989">
        <w:t xml:space="preserve"> </w:t>
      </w:r>
    </w:p>
    <w:p w14:paraId="459173A6" w14:textId="77777777" w:rsidR="00D22989" w:rsidRPr="00D22989" w:rsidRDefault="00D22989" w:rsidP="00D22989">
      <w:pPr>
        <w:rPr>
          <w:lang w:val="en-GB"/>
        </w:rPr>
      </w:pPr>
      <w:r w:rsidRPr="00D22989">
        <w:rPr>
          <w:b/>
          <w:bCs/>
          <w:lang w:val="en-GB"/>
        </w:rPr>
        <w:t>Description:</w:t>
      </w:r>
      <w:r w:rsidRPr="00D22989">
        <w:rPr>
          <w:lang w:val="en-GB"/>
        </w:rPr>
        <w:t xml:space="preserve"> A practical monitoring and evaluation toolkit for community gardens and urban farms. It helps projects collect evidence about their food production and their environmental, social, health and economic contributions. </w:t>
      </w:r>
    </w:p>
    <w:p w14:paraId="780E8C61" w14:textId="77777777" w:rsidR="00D22989" w:rsidRPr="00D22989" w:rsidRDefault="00D22989" w:rsidP="00D22989">
      <w:pPr>
        <w:rPr>
          <w:lang w:val="en-GB"/>
        </w:rPr>
      </w:pPr>
      <w:r w:rsidRPr="00D22989">
        <w:rPr>
          <w:b/>
          <w:bCs/>
          <w:lang w:val="en-GB"/>
        </w:rPr>
        <w:lastRenderedPageBreak/>
        <w:t>Developed by:</w:t>
      </w:r>
      <w:r w:rsidRPr="00D22989">
        <w:rPr>
          <w:lang w:val="en-GB"/>
        </w:rPr>
        <w:t xml:space="preserve"> Design Trust for Public Space, in collaboration with Farming Concrete and participating urban farmers and gardeners, as part of the Five Borough Farm project. </w:t>
      </w:r>
    </w:p>
    <w:p w14:paraId="612C66B6" w14:textId="77777777" w:rsidR="00D22989" w:rsidRPr="00D22989" w:rsidRDefault="00D22989" w:rsidP="00D22989">
      <w:pPr>
        <w:rPr>
          <w:lang w:val="en-GB"/>
        </w:rPr>
      </w:pPr>
      <w:r w:rsidRPr="00D22989">
        <w:rPr>
          <w:b/>
          <w:bCs/>
          <w:lang w:val="en-GB"/>
        </w:rPr>
        <w:t>Access:</w:t>
      </w:r>
      <w:r w:rsidRPr="00D22989">
        <w:rPr>
          <w:lang w:val="en-GB"/>
        </w:rPr>
        <w:t xml:space="preserve"> Free access. The complete toolkit can be downloaded as a PDF, and the Farming Concrete platform provides online forms for recording and managing data. </w:t>
      </w:r>
    </w:p>
    <w:p w14:paraId="7F6D4F85" w14:textId="77777777" w:rsidR="00D22989" w:rsidRPr="00D22989" w:rsidRDefault="00D22989" w:rsidP="00D22989">
      <w:pPr>
        <w:rPr>
          <w:lang w:val="en-GB"/>
        </w:rPr>
      </w:pPr>
      <w:r w:rsidRPr="00D22989">
        <w:rPr>
          <w:b/>
          <w:bCs/>
          <w:lang w:val="en-GB"/>
        </w:rPr>
        <w:t>Website:</w:t>
      </w:r>
      <w:r w:rsidRPr="00D22989">
        <w:rPr>
          <w:lang w:val="en-GB"/>
        </w:rPr>
        <w:t xml:space="preserve"> </w:t>
      </w:r>
      <w:hyperlink r:id="rId7" w:tgtFrame="_blank" w:history="1">
        <w:r w:rsidRPr="00D22989">
          <w:rPr>
            <w:rStyle w:val="Hyperlink"/>
            <w:lang w:val="en-GB"/>
          </w:rPr>
          <w:t>Farming Concrete Data Collection Toolkit</w:t>
        </w:r>
      </w:hyperlink>
      <w:r w:rsidRPr="00D22989">
        <w:rPr>
          <w:lang w:val="en-GB"/>
        </w:rPr>
        <w:t xml:space="preserve"> </w:t>
      </w:r>
    </w:p>
    <w:p w14:paraId="1F90A7BD" w14:textId="77777777" w:rsidR="00D22989" w:rsidRPr="00D22989" w:rsidRDefault="00D22989" w:rsidP="00D22989">
      <w:pPr>
        <w:rPr>
          <w:lang w:val="en-GB"/>
        </w:rPr>
      </w:pPr>
      <w:r w:rsidRPr="00D22989">
        <w:rPr>
          <w:b/>
          <w:bCs/>
          <w:lang w:val="en-GB"/>
        </w:rPr>
        <w:t>Key Areas:</w:t>
      </w:r>
      <w:r w:rsidRPr="00D22989">
        <w:rPr>
          <w:lang w:val="en-GB"/>
        </w:rPr>
        <w:t xml:space="preserve"> Food production; environmental sustainability; social impact; health and well-being; economic impact. </w:t>
      </w:r>
    </w:p>
    <w:p w14:paraId="0B7FD268" w14:textId="77777777" w:rsidR="00D22989" w:rsidRPr="00D22989" w:rsidRDefault="00D22989" w:rsidP="00D22989">
      <w:r w:rsidRPr="00D22989">
        <w:rPr>
          <w:b/>
          <w:bCs/>
          <w:lang w:val="en-GB"/>
        </w:rPr>
        <w:t>Features:</w:t>
      </w:r>
      <w:r w:rsidRPr="00D22989">
        <w:rPr>
          <w:lang w:val="en-GB"/>
        </w:rPr>
        <w:t xml:space="preserve"> Twenty data-collection methods organised into five categories; printable worksheets; online data-entry forms; instructional videos; participatory selection of indicators; methods designed and field-tested with community gardeners and urban farmers. (</w:t>
      </w:r>
      <w:hyperlink r:id="rId8" w:tgtFrame="_blank" w:history="1">
        <w:r w:rsidRPr="00D22989">
          <w:rPr>
            <w:rStyle w:val="Hyperlink"/>
            <w:lang w:val="en-GB"/>
          </w:rPr>
          <w:t>Farming Concrete</w:t>
        </w:r>
      </w:hyperlink>
      <w:r w:rsidRPr="00D22989">
        <w:rPr>
          <w:lang w:val="en-GB"/>
        </w:rPr>
        <w:t>)</w:t>
      </w:r>
      <w:r w:rsidRPr="00D22989">
        <w:t xml:space="preserve"> </w:t>
      </w:r>
    </w:p>
    <w:p w14:paraId="41B7A3F7" w14:textId="77777777" w:rsidR="00103305" w:rsidRDefault="00000000">
      <w:pPr>
        <w:spacing w:after="120"/>
      </w:pPr>
      <w:r>
        <w:rPr>
          <w:b/>
          <w:color w:val="1F4E79"/>
        </w:rPr>
        <w:t>Recommended use in BeCom: Monitoring food production and documenting environmental, social, health and economic contributions of a community garden.</w:t>
      </w:r>
    </w:p>
    <w:p w14:paraId="3D1A1FCF" w14:textId="77777777" w:rsidR="00D22989" w:rsidRPr="00D22989" w:rsidRDefault="00D22989" w:rsidP="00D22989">
      <w:r w:rsidRPr="00D22989">
        <w:rPr>
          <w:noProof/>
        </w:rPr>
        <w:drawing>
          <wp:inline distT="0" distB="0" distL="0" distR="0" wp14:anchorId="47739670" wp14:editId="0773B269">
            <wp:extent cx="22860" cy="22860"/>
            <wp:effectExtent l="0" t="0" r="0" b="0"/>
            <wp:docPr id="115052496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inline>
        </w:drawing>
      </w:r>
      <w:r w:rsidRPr="00D22989">
        <w:t xml:space="preserve"> </w:t>
      </w:r>
    </w:p>
    <w:p w14:paraId="2E432350" w14:textId="77777777" w:rsidR="00D22989" w:rsidRPr="00D22989" w:rsidRDefault="00D22989" w:rsidP="00D22989">
      <w:pPr>
        <w:numPr>
          <w:ilvl w:val="0"/>
          <w:numId w:val="6"/>
        </w:numPr>
        <w:rPr>
          <w:lang w:val="en-GB"/>
        </w:rPr>
      </w:pPr>
      <w:r w:rsidRPr="00D22989">
        <w:rPr>
          <w:b/>
          <w:bCs/>
          <w:lang w:val="en-GB"/>
        </w:rPr>
        <w:t>Community Garden Social Impact Assessment Toolkit</w:t>
      </w:r>
      <w:r w:rsidRPr="00D22989">
        <w:rPr>
          <w:lang w:val="en-GB"/>
        </w:rPr>
        <w:t xml:space="preserve"> </w:t>
      </w:r>
    </w:p>
    <w:p w14:paraId="60AE891B" w14:textId="77777777" w:rsidR="00D22989" w:rsidRPr="00D22989" w:rsidRDefault="00D22989" w:rsidP="00D22989">
      <w:pPr>
        <w:rPr>
          <w:lang w:val="en-GB"/>
        </w:rPr>
      </w:pPr>
      <w:r w:rsidRPr="00D22989">
        <w:rPr>
          <w:b/>
          <w:bCs/>
          <w:lang w:val="en-GB"/>
        </w:rPr>
        <w:t>Description:</w:t>
      </w:r>
      <w:r w:rsidRPr="00D22989">
        <w:rPr>
          <w:lang w:val="en-GB"/>
        </w:rPr>
        <w:t xml:space="preserve"> A structured toolkit designed to help community gardens assess and strengthen the social benefits created through relationships between gardeners, neighbourhood residents and local organisations. </w:t>
      </w:r>
    </w:p>
    <w:p w14:paraId="22CEB0DE" w14:textId="77777777" w:rsidR="00D22989" w:rsidRPr="00D22989" w:rsidRDefault="00D22989" w:rsidP="00D22989">
      <w:pPr>
        <w:rPr>
          <w:lang w:val="en-GB"/>
        </w:rPr>
      </w:pPr>
      <w:r w:rsidRPr="00D22989">
        <w:rPr>
          <w:b/>
          <w:bCs/>
          <w:lang w:val="en-GB"/>
        </w:rPr>
        <w:t>Developed by:</w:t>
      </w:r>
      <w:r w:rsidRPr="00D22989">
        <w:rPr>
          <w:lang w:val="en-GB"/>
        </w:rPr>
        <w:t xml:space="preserve"> Keith Sterling Miller for the </w:t>
      </w:r>
      <w:proofErr w:type="spellStart"/>
      <w:r w:rsidRPr="00D22989">
        <w:rPr>
          <w:lang w:val="en-GB"/>
        </w:rPr>
        <w:t>Center</w:t>
      </w:r>
      <w:proofErr w:type="spellEnd"/>
      <w:r w:rsidRPr="00D22989">
        <w:rPr>
          <w:lang w:val="en-GB"/>
        </w:rPr>
        <w:t xml:space="preserve"> for Urban and Regional Affairs—CURA, University of Minnesota, in 2012. </w:t>
      </w:r>
    </w:p>
    <w:p w14:paraId="6E64093D" w14:textId="77777777" w:rsidR="00D22989" w:rsidRPr="00D22989" w:rsidRDefault="00D22989" w:rsidP="00D22989">
      <w:pPr>
        <w:rPr>
          <w:lang w:val="en-GB"/>
        </w:rPr>
      </w:pPr>
      <w:r w:rsidRPr="00D22989">
        <w:rPr>
          <w:b/>
          <w:bCs/>
          <w:lang w:val="en-GB"/>
        </w:rPr>
        <w:t>Access:</w:t>
      </w:r>
      <w:r w:rsidRPr="00D22989">
        <w:rPr>
          <w:lang w:val="en-GB"/>
        </w:rPr>
        <w:t xml:space="preserve"> Free access through the University of Minnesota Digital Conservancy. Available as a downloadable guide. </w:t>
      </w:r>
    </w:p>
    <w:p w14:paraId="0EC36C23" w14:textId="77777777" w:rsidR="00D22989" w:rsidRPr="00D22989" w:rsidRDefault="00D22989" w:rsidP="00D22989">
      <w:pPr>
        <w:rPr>
          <w:lang w:val="en-GB"/>
        </w:rPr>
      </w:pPr>
      <w:r w:rsidRPr="00D22989">
        <w:rPr>
          <w:b/>
          <w:bCs/>
          <w:lang w:val="en-GB"/>
        </w:rPr>
        <w:t>Website:</w:t>
      </w:r>
      <w:r w:rsidRPr="00D22989">
        <w:rPr>
          <w:lang w:val="en-GB"/>
        </w:rPr>
        <w:t xml:space="preserve"> </w:t>
      </w:r>
      <w:hyperlink r:id="rId10" w:tgtFrame="_blank" w:history="1">
        <w:r w:rsidRPr="00D22989">
          <w:rPr>
            <w:rStyle w:val="Hyperlink"/>
            <w:lang w:val="en-GB"/>
          </w:rPr>
          <w:t>Community Garden Social Impact Assessment Toolkit</w:t>
        </w:r>
      </w:hyperlink>
      <w:r w:rsidRPr="00D22989">
        <w:rPr>
          <w:lang w:val="en-GB"/>
        </w:rPr>
        <w:t xml:space="preserve"> </w:t>
      </w:r>
    </w:p>
    <w:p w14:paraId="7A1841AB" w14:textId="77777777" w:rsidR="00D22989" w:rsidRPr="00D22989" w:rsidRDefault="00D22989" w:rsidP="00D22989">
      <w:pPr>
        <w:rPr>
          <w:lang w:val="en-GB"/>
        </w:rPr>
      </w:pPr>
      <w:r w:rsidRPr="00D22989">
        <w:rPr>
          <w:b/>
          <w:bCs/>
          <w:lang w:val="en-GB"/>
        </w:rPr>
        <w:t>Key Areas:</w:t>
      </w:r>
      <w:r w:rsidRPr="00D22989">
        <w:rPr>
          <w:lang w:val="en-GB"/>
        </w:rPr>
        <w:t xml:space="preserve"> Social cohesion; sense of belonging; community relationships; neighbourhood engagement; population diversity; partnerships with local organisations; social sustainability. </w:t>
      </w:r>
    </w:p>
    <w:p w14:paraId="0F9C3DDA" w14:textId="77777777" w:rsidR="00D22989" w:rsidRPr="00D22989" w:rsidRDefault="00D22989" w:rsidP="00D22989">
      <w:r w:rsidRPr="00D22989">
        <w:rPr>
          <w:b/>
          <w:bCs/>
          <w:lang w:val="en-GB"/>
        </w:rPr>
        <w:t>Features:</w:t>
      </w:r>
      <w:r w:rsidRPr="00D22989">
        <w:rPr>
          <w:lang w:val="en-GB"/>
        </w:rPr>
        <w:t xml:space="preserve"> Three complementary assessment methods: a focus group, a survey of garden members and a neighbourhood survey. It includes implementation instructions, templates, reference questionnaires and indicators. Gardens can apply all three methods or select those most relevant to their objectives. (</w:t>
      </w:r>
      <w:hyperlink r:id="rId11" w:tgtFrame="_blank" w:history="1">
        <w:r w:rsidRPr="00D22989">
          <w:rPr>
            <w:rStyle w:val="Hyperlink"/>
            <w:lang w:val="en-GB"/>
          </w:rPr>
          <w:t>diba.cat</w:t>
        </w:r>
      </w:hyperlink>
      <w:r w:rsidRPr="00D22989">
        <w:rPr>
          <w:lang w:val="en-GB"/>
        </w:rPr>
        <w:t>)</w:t>
      </w:r>
      <w:r w:rsidRPr="00D22989">
        <w:t xml:space="preserve"> </w:t>
      </w:r>
    </w:p>
    <w:p w14:paraId="77FD8A11" w14:textId="77777777" w:rsidR="00103305" w:rsidRDefault="00000000">
      <w:pPr>
        <w:spacing w:after="120"/>
      </w:pPr>
      <w:r>
        <w:rPr>
          <w:b/>
          <w:color w:val="1F4E79"/>
        </w:rPr>
        <w:t>Recommended use in BeCom: Assessing social cohesion, participation, neighbourhood relationships and community engagement.</w:t>
      </w:r>
    </w:p>
    <w:p w14:paraId="54A69F04" w14:textId="77777777" w:rsidR="00D22989" w:rsidRPr="00D22989" w:rsidRDefault="00D22989" w:rsidP="00D22989">
      <w:r w:rsidRPr="00D22989">
        <w:rPr>
          <w:noProof/>
        </w:rPr>
        <w:drawing>
          <wp:inline distT="0" distB="0" distL="0" distR="0" wp14:anchorId="385F338F" wp14:editId="75AD01B0">
            <wp:extent cx="22860" cy="22860"/>
            <wp:effectExtent l="0" t="0" r="0" b="0"/>
            <wp:docPr id="538338116"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inline>
        </w:drawing>
      </w:r>
      <w:r w:rsidRPr="00D22989">
        <w:t xml:space="preserve"> </w:t>
      </w:r>
    </w:p>
    <w:p w14:paraId="172F4B93" w14:textId="77777777" w:rsidR="00D22989" w:rsidRPr="00D22989" w:rsidRDefault="00D22989" w:rsidP="00D22989">
      <w:pPr>
        <w:numPr>
          <w:ilvl w:val="0"/>
          <w:numId w:val="7"/>
        </w:numPr>
        <w:rPr>
          <w:lang w:val="en-GB"/>
        </w:rPr>
      </w:pPr>
      <w:r w:rsidRPr="00D22989">
        <w:rPr>
          <w:b/>
          <w:bCs/>
          <w:lang w:val="en-GB"/>
        </w:rPr>
        <w:t xml:space="preserve">Guia per a </w:t>
      </w:r>
      <w:proofErr w:type="spellStart"/>
      <w:r w:rsidRPr="00D22989">
        <w:rPr>
          <w:b/>
          <w:bCs/>
          <w:lang w:val="en-GB"/>
        </w:rPr>
        <w:t>l’avaluació</w:t>
      </w:r>
      <w:proofErr w:type="spellEnd"/>
      <w:r w:rsidRPr="00D22989">
        <w:rPr>
          <w:b/>
          <w:bCs/>
          <w:lang w:val="en-GB"/>
        </w:rPr>
        <w:t xml:space="preserve"> de </w:t>
      </w:r>
      <w:proofErr w:type="spellStart"/>
      <w:r w:rsidRPr="00D22989">
        <w:rPr>
          <w:b/>
          <w:bCs/>
          <w:lang w:val="en-GB"/>
        </w:rPr>
        <w:t>l’impacte</w:t>
      </w:r>
      <w:proofErr w:type="spellEnd"/>
      <w:r w:rsidRPr="00D22989">
        <w:rPr>
          <w:b/>
          <w:bCs/>
          <w:lang w:val="en-GB"/>
        </w:rPr>
        <w:t xml:space="preserve"> dels </w:t>
      </w:r>
      <w:proofErr w:type="spellStart"/>
      <w:r w:rsidRPr="00D22989">
        <w:rPr>
          <w:b/>
          <w:bCs/>
          <w:lang w:val="en-GB"/>
        </w:rPr>
        <w:t>programes</w:t>
      </w:r>
      <w:proofErr w:type="spellEnd"/>
      <w:r w:rsidRPr="00D22989">
        <w:rPr>
          <w:b/>
          <w:bCs/>
          <w:lang w:val="en-GB"/>
        </w:rPr>
        <w:t xml:space="preserve"> </w:t>
      </w:r>
      <w:proofErr w:type="spellStart"/>
      <w:r w:rsidRPr="00D22989">
        <w:rPr>
          <w:b/>
          <w:bCs/>
          <w:lang w:val="en-GB"/>
        </w:rPr>
        <w:t>d’horts</w:t>
      </w:r>
      <w:proofErr w:type="spellEnd"/>
      <w:r w:rsidRPr="00D22989">
        <w:rPr>
          <w:b/>
          <w:bCs/>
          <w:lang w:val="en-GB"/>
        </w:rPr>
        <w:t xml:space="preserve"> socials (</w:t>
      </w:r>
      <w:r w:rsidRPr="00D22989">
        <w:rPr>
          <w:b/>
          <w:bCs/>
          <w:lang w:val="en"/>
        </w:rPr>
        <w:t>Guide for assessing the impact of community garden programs)</w:t>
      </w:r>
      <w:r w:rsidRPr="00D22989">
        <w:rPr>
          <w:lang w:val="en-GB"/>
        </w:rPr>
        <w:t xml:space="preserve"> </w:t>
      </w:r>
    </w:p>
    <w:p w14:paraId="0C730831" w14:textId="77777777" w:rsidR="00D22989" w:rsidRPr="00D22989" w:rsidRDefault="00D22989" w:rsidP="00D22989">
      <w:pPr>
        <w:rPr>
          <w:lang w:val="en-GB"/>
        </w:rPr>
      </w:pPr>
      <w:r w:rsidRPr="00D22989">
        <w:rPr>
          <w:b/>
          <w:bCs/>
          <w:lang w:val="en-GB"/>
        </w:rPr>
        <w:lastRenderedPageBreak/>
        <w:t>Description:</w:t>
      </w:r>
      <w:r w:rsidRPr="00D22989">
        <w:rPr>
          <w:lang w:val="en-GB"/>
        </w:rPr>
        <w:t xml:space="preserve"> A methodological guide for evaluating the effects of social garden programmes on participants and on the operation of local social services. It is intended to support the improvement and consolidation of these programmes. </w:t>
      </w:r>
    </w:p>
    <w:p w14:paraId="340E05B6" w14:textId="77777777" w:rsidR="00D22989" w:rsidRPr="00D22989" w:rsidRDefault="00D22989" w:rsidP="00D22989">
      <w:pPr>
        <w:rPr>
          <w:lang w:val="en-GB"/>
        </w:rPr>
      </w:pPr>
      <w:r w:rsidRPr="00D22989">
        <w:rPr>
          <w:b/>
          <w:bCs/>
          <w:lang w:val="en-GB"/>
        </w:rPr>
        <w:t>Developed by:</w:t>
      </w:r>
      <w:r w:rsidRPr="00D22989">
        <w:rPr>
          <w:lang w:val="en-GB"/>
        </w:rPr>
        <w:t xml:space="preserve"> Rosa </w:t>
      </w:r>
      <w:proofErr w:type="spellStart"/>
      <w:r w:rsidRPr="00D22989">
        <w:rPr>
          <w:lang w:val="en-GB"/>
        </w:rPr>
        <w:t>Coscolla</w:t>
      </w:r>
      <w:proofErr w:type="spellEnd"/>
      <w:r w:rsidRPr="00D22989">
        <w:rPr>
          <w:lang w:val="en-GB"/>
        </w:rPr>
        <w:t xml:space="preserve"> and Gabriel </w:t>
      </w:r>
      <w:proofErr w:type="spellStart"/>
      <w:r w:rsidRPr="00D22989">
        <w:rPr>
          <w:lang w:val="en-GB"/>
        </w:rPr>
        <w:t>Casellato</w:t>
      </w:r>
      <w:proofErr w:type="spellEnd"/>
      <w:r w:rsidRPr="00D22989">
        <w:rPr>
          <w:lang w:val="en-GB"/>
        </w:rPr>
        <w:t xml:space="preserve"> of </w:t>
      </w:r>
      <w:proofErr w:type="spellStart"/>
      <w:r w:rsidRPr="00D22989">
        <w:rPr>
          <w:lang w:val="en-GB"/>
        </w:rPr>
        <w:t>Fundació</w:t>
      </w:r>
      <w:proofErr w:type="spellEnd"/>
      <w:r w:rsidRPr="00D22989">
        <w:rPr>
          <w:lang w:val="en-GB"/>
        </w:rPr>
        <w:t xml:space="preserve"> Pere </w:t>
      </w:r>
      <w:proofErr w:type="spellStart"/>
      <w:r w:rsidRPr="00D22989">
        <w:rPr>
          <w:lang w:val="en-GB"/>
        </w:rPr>
        <w:t>Tarrés</w:t>
      </w:r>
      <w:proofErr w:type="spellEnd"/>
      <w:r w:rsidRPr="00D22989">
        <w:rPr>
          <w:lang w:val="en-GB"/>
        </w:rPr>
        <w:t xml:space="preserve">, under the technical direction of the Social Welfare Management Department of Barcelona Provincial Council. It is based on the evaluation experience of the social garden programme of </w:t>
      </w:r>
      <w:proofErr w:type="spellStart"/>
      <w:r w:rsidRPr="00D22989">
        <w:rPr>
          <w:lang w:val="en-GB"/>
        </w:rPr>
        <w:t>Premià</w:t>
      </w:r>
      <w:proofErr w:type="spellEnd"/>
      <w:r w:rsidRPr="00D22989">
        <w:rPr>
          <w:lang w:val="en-GB"/>
        </w:rPr>
        <w:t xml:space="preserve"> de Dalt City Council. </w:t>
      </w:r>
    </w:p>
    <w:p w14:paraId="18FDDCA7" w14:textId="77777777" w:rsidR="00D22989" w:rsidRPr="00D22989" w:rsidRDefault="00D22989" w:rsidP="00D22989">
      <w:pPr>
        <w:rPr>
          <w:lang w:val="en-GB"/>
        </w:rPr>
      </w:pPr>
      <w:r w:rsidRPr="00D22989">
        <w:rPr>
          <w:b/>
          <w:bCs/>
          <w:lang w:val="en-GB"/>
        </w:rPr>
        <w:t>Access:</w:t>
      </w:r>
      <w:r w:rsidRPr="00D22989">
        <w:rPr>
          <w:lang w:val="en-GB"/>
        </w:rPr>
        <w:t xml:space="preserve"> Free access. The publication can be consulted and downloaded from the Barcelona Provincial Council website. </w:t>
      </w:r>
    </w:p>
    <w:p w14:paraId="5E06BBB9" w14:textId="77777777" w:rsidR="00D22989" w:rsidRPr="00D22989" w:rsidRDefault="00D22989" w:rsidP="00D22989">
      <w:pPr>
        <w:rPr>
          <w:lang w:val="en-GB"/>
        </w:rPr>
      </w:pPr>
      <w:r w:rsidRPr="00D22989">
        <w:rPr>
          <w:b/>
          <w:bCs/>
          <w:lang w:val="en-GB"/>
        </w:rPr>
        <w:t>Website:</w:t>
      </w:r>
      <w:r w:rsidRPr="00D22989">
        <w:rPr>
          <w:lang w:val="en-GB"/>
        </w:rPr>
        <w:t xml:space="preserve"> </w:t>
      </w:r>
      <w:hyperlink r:id="rId12" w:tgtFrame="_blank" w:history="1">
        <w:r w:rsidRPr="00D22989">
          <w:rPr>
            <w:rStyle w:val="Hyperlink"/>
            <w:lang w:val="en-GB"/>
          </w:rPr>
          <w:t xml:space="preserve">Guia per a </w:t>
        </w:r>
        <w:proofErr w:type="spellStart"/>
        <w:r w:rsidRPr="00D22989">
          <w:rPr>
            <w:rStyle w:val="Hyperlink"/>
            <w:lang w:val="en-GB"/>
          </w:rPr>
          <w:t>l’avaluació</w:t>
        </w:r>
        <w:proofErr w:type="spellEnd"/>
        <w:r w:rsidRPr="00D22989">
          <w:rPr>
            <w:rStyle w:val="Hyperlink"/>
            <w:lang w:val="en-GB"/>
          </w:rPr>
          <w:t xml:space="preserve"> de </w:t>
        </w:r>
        <w:proofErr w:type="spellStart"/>
        <w:r w:rsidRPr="00D22989">
          <w:rPr>
            <w:rStyle w:val="Hyperlink"/>
            <w:lang w:val="en-GB"/>
          </w:rPr>
          <w:t>l’impacte</w:t>
        </w:r>
        <w:proofErr w:type="spellEnd"/>
        <w:r w:rsidRPr="00D22989">
          <w:rPr>
            <w:rStyle w:val="Hyperlink"/>
            <w:lang w:val="en-GB"/>
          </w:rPr>
          <w:t xml:space="preserve"> dels </w:t>
        </w:r>
        <w:proofErr w:type="spellStart"/>
        <w:r w:rsidRPr="00D22989">
          <w:rPr>
            <w:rStyle w:val="Hyperlink"/>
            <w:lang w:val="en-GB"/>
          </w:rPr>
          <w:t>programes</w:t>
        </w:r>
        <w:proofErr w:type="spellEnd"/>
        <w:r w:rsidRPr="00D22989">
          <w:rPr>
            <w:rStyle w:val="Hyperlink"/>
            <w:lang w:val="en-GB"/>
          </w:rPr>
          <w:t xml:space="preserve"> </w:t>
        </w:r>
        <w:proofErr w:type="spellStart"/>
        <w:r w:rsidRPr="00D22989">
          <w:rPr>
            <w:rStyle w:val="Hyperlink"/>
            <w:lang w:val="en-GB"/>
          </w:rPr>
          <w:t>d’horts</w:t>
        </w:r>
        <w:proofErr w:type="spellEnd"/>
        <w:r w:rsidRPr="00D22989">
          <w:rPr>
            <w:rStyle w:val="Hyperlink"/>
            <w:lang w:val="en-GB"/>
          </w:rPr>
          <w:t xml:space="preserve"> socials</w:t>
        </w:r>
      </w:hyperlink>
      <w:r w:rsidRPr="00D22989">
        <w:rPr>
          <w:lang w:val="en-GB"/>
        </w:rPr>
        <w:t xml:space="preserve"> </w:t>
      </w:r>
    </w:p>
    <w:p w14:paraId="435C85DE" w14:textId="77777777" w:rsidR="00D22989" w:rsidRPr="00D22989" w:rsidRDefault="00D22989" w:rsidP="00D22989">
      <w:pPr>
        <w:rPr>
          <w:lang w:val="en-GB"/>
        </w:rPr>
      </w:pPr>
      <w:r w:rsidRPr="00D22989">
        <w:rPr>
          <w:b/>
          <w:bCs/>
          <w:lang w:val="en-GB"/>
        </w:rPr>
        <w:t>Key Areas:</w:t>
      </w:r>
      <w:r w:rsidRPr="00D22989">
        <w:rPr>
          <w:lang w:val="en-GB"/>
        </w:rPr>
        <w:t xml:space="preserve"> Social inclusion; participant empowerment; personal and social development; social cohesion; programme outcomes; functioning of social services; programme improvement. </w:t>
      </w:r>
    </w:p>
    <w:p w14:paraId="4F88716F" w14:textId="77777777" w:rsidR="00D22989" w:rsidRPr="00D22989" w:rsidRDefault="00D22989" w:rsidP="00D22989">
      <w:r w:rsidRPr="00D22989">
        <w:rPr>
          <w:b/>
          <w:bCs/>
          <w:lang w:val="en-GB"/>
        </w:rPr>
        <w:t>Features:</w:t>
      </w:r>
      <w:r w:rsidRPr="00D22989">
        <w:rPr>
          <w:lang w:val="en-GB"/>
        </w:rPr>
        <w:t xml:space="preserve"> Methodological guidance; observable variables and parameters; evaluation processes; practical instruments; criteria for assessing changes in participants; analysis of programme implementation and institutional functioning. (</w:t>
      </w:r>
      <w:hyperlink r:id="rId13" w:tgtFrame="_blank" w:history="1">
        <w:r w:rsidRPr="00D22989">
          <w:rPr>
            <w:rStyle w:val="Hyperlink"/>
            <w:lang w:val="en-GB"/>
          </w:rPr>
          <w:t>diba.cat</w:t>
        </w:r>
      </w:hyperlink>
      <w:r w:rsidRPr="00D22989">
        <w:rPr>
          <w:lang w:val="en-GB"/>
        </w:rPr>
        <w:t>)</w:t>
      </w:r>
      <w:r w:rsidRPr="00D22989">
        <w:t xml:space="preserve"> </w:t>
      </w:r>
    </w:p>
    <w:p w14:paraId="40749CB8" w14:textId="77777777" w:rsidR="00103305" w:rsidRDefault="00000000">
      <w:pPr>
        <w:spacing w:after="120"/>
      </w:pPr>
      <w:r>
        <w:rPr>
          <w:b/>
          <w:color w:val="1F4E79"/>
        </w:rPr>
        <w:t>Recommended use in BeCom: Evaluating social inclusion, participant development and the outcomes of community or social gardening programmes.</w:t>
      </w:r>
    </w:p>
    <w:p w14:paraId="54AD202D" w14:textId="77777777" w:rsidR="00D22989" w:rsidRPr="00D22989" w:rsidRDefault="00D22989" w:rsidP="00D22989">
      <w:r w:rsidRPr="00D22989">
        <w:rPr>
          <w:noProof/>
        </w:rPr>
        <w:drawing>
          <wp:inline distT="0" distB="0" distL="0" distR="0" wp14:anchorId="3749CBDE" wp14:editId="5D6A5775">
            <wp:extent cx="22860" cy="22860"/>
            <wp:effectExtent l="0" t="0" r="0" b="0"/>
            <wp:docPr id="1582632478"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inline>
        </w:drawing>
      </w:r>
      <w:r w:rsidRPr="00D22989">
        <w:t xml:space="preserve"> </w:t>
      </w:r>
    </w:p>
    <w:p w14:paraId="10B83651" w14:textId="77777777" w:rsidR="00D22989" w:rsidRPr="00D22989" w:rsidRDefault="00D22989" w:rsidP="00D22989">
      <w:pPr>
        <w:numPr>
          <w:ilvl w:val="0"/>
          <w:numId w:val="8"/>
        </w:numPr>
        <w:rPr>
          <w:lang w:val="en-GB"/>
        </w:rPr>
      </w:pPr>
      <w:r w:rsidRPr="00D22989">
        <w:rPr>
          <w:b/>
          <w:bCs/>
          <w:lang w:val="en-GB"/>
        </w:rPr>
        <w:t>GARDENS: Inclusive Approaches to Community Gardening and Green Learning Spaces</w:t>
      </w:r>
      <w:r w:rsidRPr="00D22989">
        <w:rPr>
          <w:lang w:val="en-GB"/>
        </w:rPr>
        <w:t xml:space="preserve"> </w:t>
      </w:r>
    </w:p>
    <w:p w14:paraId="06087E59" w14:textId="77777777" w:rsidR="00D22989" w:rsidRPr="00D22989" w:rsidRDefault="00D22989" w:rsidP="00D22989">
      <w:pPr>
        <w:rPr>
          <w:lang w:val="en-GB"/>
        </w:rPr>
      </w:pPr>
      <w:r w:rsidRPr="00D22989">
        <w:rPr>
          <w:b/>
          <w:bCs/>
          <w:lang w:val="en-GB"/>
        </w:rPr>
        <w:t>Description:</w:t>
      </w:r>
      <w:r w:rsidRPr="00D22989">
        <w:rPr>
          <w:lang w:val="en-GB"/>
        </w:rPr>
        <w:t xml:space="preserve"> An Erasmus+ resource that presents community gardens as inclusive green learning spaces. It supports organisations in making environmental education and community gardening more accessible to people from different social, cultural and functional backgrounds. </w:t>
      </w:r>
    </w:p>
    <w:p w14:paraId="0EE3C34C" w14:textId="77777777" w:rsidR="00D22989" w:rsidRPr="00D22989" w:rsidRDefault="00D22989" w:rsidP="00D22989">
      <w:pPr>
        <w:rPr>
          <w:lang w:val="en-GB"/>
        </w:rPr>
      </w:pPr>
      <w:r w:rsidRPr="00D22989">
        <w:rPr>
          <w:b/>
          <w:bCs/>
          <w:lang w:val="en-GB"/>
        </w:rPr>
        <w:t>Developed by:</w:t>
      </w:r>
      <w:r w:rsidRPr="00D22989">
        <w:rPr>
          <w:lang w:val="en-GB"/>
        </w:rPr>
        <w:t xml:space="preserve"> A European Erasmus+ consortium comprising </w:t>
      </w:r>
      <w:proofErr w:type="spellStart"/>
      <w:r w:rsidRPr="00D22989">
        <w:rPr>
          <w:lang w:val="en-GB"/>
        </w:rPr>
        <w:t>Himmelbeet</w:t>
      </w:r>
      <w:proofErr w:type="spellEnd"/>
      <w:r w:rsidRPr="00D22989">
        <w:rPr>
          <w:lang w:val="en-GB"/>
        </w:rPr>
        <w:t xml:space="preserve">, Krakow Municipal Greenspace Authority, </w:t>
      </w:r>
      <w:proofErr w:type="spellStart"/>
      <w:r w:rsidRPr="00D22989">
        <w:rPr>
          <w:lang w:val="en-GB"/>
        </w:rPr>
        <w:t>Zasiej</w:t>
      </w:r>
      <w:proofErr w:type="spellEnd"/>
      <w:r w:rsidRPr="00D22989">
        <w:rPr>
          <w:lang w:val="en-GB"/>
        </w:rPr>
        <w:t xml:space="preserve">, Changemaker, </w:t>
      </w:r>
      <w:proofErr w:type="spellStart"/>
      <w:r w:rsidRPr="00D22989">
        <w:rPr>
          <w:lang w:val="en-GB"/>
        </w:rPr>
        <w:t>SaluTerre</w:t>
      </w:r>
      <w:proofErr w:type="spellEnd"/>
      <w:r w:rsidRPr="00D22989">
        <w:rPr>
          <w:lang w:val="en-GB"/>
        </w:rPr>
        <w:t xml:space="preserve">, the Comparative Research Network and Kilowatt. </w:t>
      </w:r>
    </w:p>
    <w:p w14:paraId="52C7FF78" w14:textId="77777777" w:rsidR="00D22989" w:rsidRPr="00D22989" w:rsidRDefault="00D22989" w:rsidP="00D22989">
      <w:pPr>
        <w:rPr>
          <w:lang w:val="en-GB"/>
        </w:rPr>
      </w:pPr>
      <w:r w:rsidRPr="00D22989">
        <w:rPr>
          <w:b/>
          <w:bCs/>
          <w:lang w:val="en-GB"/>
        </w:rPr>
        <w:t>Access:</w:t>
      </w:r>
      <w:r w:rsidRPr="00D22989">
        <w:rPr>
          <w:lang w:val="en-GB"/>
        </w:rPr>
        <w:t xml:space="preserve"> Free and open access. The main handbook is available in English and Polish, with summaries in several additional languages. </w:t>
      </w:r>
    </w:p>
    <w:p w14:paraId="5DA075A9" w14:textId="77777777" w:rsidR="00D22989" w:rsidRPr="00D22989" w:rsidRDefault="00D22989" w:rsidP="00D22989">
      <w:pPr>
        <w:rPr>
          <w:lang w:val="en-GB"/>
        </w:rPr>
      </w:pPr>
      <w:r w:rsidRPr="00D22989">
        <w:rPr>
          <w:b/>
          <w:bCs/>
          <w:lang w:val="en-GB"/>
        </w:rPr>
        <w:t>Website:</w:t>
      </w:r>
      <w:r w:rsidRPr="00D22989">
        <w:rPr>
          <w:lang w:val="en-GB"/>
        </w:rPr>
        <w:t xml:space="preserve"> </w:t>
      </w:r>
      <w:hyperlink r:id="rId14" w:tgtFrame="_blank" w:history="1">
        <w:r w:rsidRPr="00D22989">
          <w:rPr>
            <w:rStyle w:val="Hyperlink"/>
            <w:lang w:val="en-GB"/>
          </w:rPr>
          <w:t>Gardens as Inclusive Green Learning Spaces</w:t>
        </w:r>
      </w:hyperlink>
      <w:r w:rsidRPr="00D22989">
        <w:rPr>
          <w:lang w:val="en-GB"/>
        </w:rPr>
        <w:t xml:space="preserve"> </w:t>
      </w:r>
    </w:p>
    <w:p w14:paraId="6FCEB0C7" w14:textId="77777777" w:rsidR="00D22989" w:rsidRPr="00D22989" w:rsidRDefault="00D22989" w:rsidP="00D22989">
      <w:pPr>
        <w:rPr>
          <w:lang w:val="en-GB"/>
        </w:rPr>
      </w:pPr>
      <w:r w:rsidRPr="00D22989">
        <w:rPr>
          <w:b/>
          <w:bCs/>
          <w:lang w:val="en-GB"/>
        </w:rPr>
        <w:t>Key Areas:</w:t>
      </w:r>
      <w:r w:rsidRPr="00D22989">
        <w:rPr>
          <w:lang w:val="en-GB"/>
        </w:rPr>
        <w:t xml:space="preserve"> Social inclusion; accessible environmental education; community participation; ecology; climate change; circular economy; sustainability; food production. </w:t>
      </w:r>
    </w:p>
    <w:p w14:paraId="6760C112" w14:textId="77777777" w:rsidR="00D22989" w:rsidRPr="00D22989" w:rsidRDefault="00D22989" w:rsidP="00D22989">
      <w:r w:rsidRPr="00D22989">
        <w:rPr>
          <w:b/>
          <w:bCs/>
          <w:lang w:val="en-GB"/>
        </w:rPr>
        <w:t>Features:</w:t>
      </w:r>
      <w:r w:rsidRPr="00D22989">
        <w:rPr>
          <w:lang w:val="en-GB"/>
        </w:rPr>
        <w:t xml:space="preserve"> Training handbook; collection of tested European practices; step-by-step activities; educational materials; participatory methods; examples from five European countries; </w:t>
      </w:r>
      <w:r w:rsidRPr="00D22989">
        <w:rPr>
          <w:lang w:val="en-GB"/>
        </w:rPr>
        <w:lastRenderedPageBreak/>
        <w:t>resources for including people with disabilities and socially excluded groups; practice map and adaptable garden-based learning methods. (</w:t>
      </w:r>
      <w:hyperlink r:id="rId15" w:tgtFrame="_blank" w:history="1">
        <w:r w:rsidRPr="00D22989">
          <w:rPr>
            <w:rStyle w:val="Hyperlink"/>
            <w:lang w:val="en-GB"/>
          </w:rPr>
          <w:t>Green Inclusion</w:t>
        </w:r>
      </w:hyperlink>
      <w:r w:rsidRPr="00D22989">
        <w:rPr>
          <w:lang w:val="en-GB"/>
        </w:rPr>
        <w:t>)</w:t>
      </w:r>
      <w:r w:rsidRPr="00D22989">
        <w:t xml:space="preserve"> </w:t>
      </w:r>
    </w:p>
    <w:p w14:paraId="05DBB645" w14:textId="77777777" w:rsidR="00103305" w:rsidRDefault="00000000">
      <w:pPr>
        <w:spacing w:after="120"/>
      </w:pPr>
      <w:r>
        <w:rPr>
          <w:b/>
          <w:color w:val="1F4E79"/>
        </w:rPr>
        <w:t>Recommended use in BeCom: Complementary resource for inclusive community gardening and accessible green learning activities; especially useful when planning participation of diverse or disadvantaged target groups.</w:t>
      </w:r>
    </w:p>
    <w:p w14:paraId="58EC29AA" w14:textId="77777777" w:rsidR="00D22989" w:rsidRPr="00D22989" w:rsidRDefault="00D22989" w:rsidP="00D22989">
      <w:r w:rsidRPr="00D22989">
        <w:rPr>
          <w:noProof/>
        </w:rPr>
        <w:drawing>
          <wp:inline distT="0" distB="0" distL="0" distR="0" wp14:anchorId="251ED21A" wp14:editId="6745F1BC">
            <wp:extent cx="22860" cy="22860"/>
            <wp:effectExtent l="0" t="0" r="0" b="0"/>
            <wp:docPr id="212736972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inline>
        </w:drawing>
      </w:r>
      <w:r w:rsidRPr="00D22989">
        <w:t xml:space="preserve"> </w:t>
      </w:r>
    </w:p>
    <w:p w14:paraId="77074C3A" w14:textId="77777777" w:rsidR="00D22989" w:rsidRPr="00D22989" w:rsidRDefault="00D22989" w:rsidP="00D22989">
      <w:pPr>
        <w:numPr>
          <w:ilvl w:val="0"/>
          <w:numId w:val="9"/>
        </w:numPr>
        <w:rPr>
          <w:lang w:val="en-GB"/>
        </w:rPr>
      </w:pPr>
      <w:r w:rsidRPr="00D22989">
        <w:rPr>
          <w:b/>
          <w:bCs/>
          <w:lang w:val="en-GB"/>
        </w:rPr>
        <w:t>RECITAL — Urban Green Space Quality Assessment Tool</w:t>
      </w:r>
      <w:r w:rsidRPr="00D22989">
        <w:rPr>
          <w:lang w:val="en-GB"/>
        </w:rPr>
        <w:t xml:space="preserve"> </w:t>
      </w:r>
    </w:p>
    <w:p w14:paraId="6E04355E" w14:textId="77777777" w:rsidR="00D22989" w:rsidRPr="00D22989" w:rsidRDefault="00D22989" w:rsidP="00D22989">
      <w:pPr>
        <w:rPr>
          <w:lang w:val="en-GB"/>
        </w:rPr>
      </w:pPr>
      <w:r w:rsidRPr="00D22989">
        <w:rPr>
          <w:b/>
          <w:bCs/>
          <w:lang w:val="en-GB"/>
        </w:rPr>
        <w:t>Description:</w:t>
      </w:r>
      <w:r w:rsidRPr="00D22989">
        <w:rPr>
          <w:lang w:val="en-GB"/>
        </w:rPr>
        <w:t xml:space="preserve"> A multidimensional in-situ assessment tool for measuring the quality of urban green spaces, particularly characteristics potentially related to human health and well-being. It can be adapted to assess the physical and environmental quality of community gardens. </w:t>
      </w:r>
    </w:p>
    <w:p w14:paraId="3280515C" w14:textId="77777777" w:rsidR="00D22989" w:rsidRPr="00D22989" w:rsidRDefault="00D22989" w:rsidP="00D22989">
      <w:pPr>
        <w:rPr>
          <w:lang w:val="en-GB"/>
        </w:rPr>
      </w:pPr>
      <w:r w:rsidRPr="00D22989">
        <w:rPr>
          <w:b/>
          <w:bCs/>
          <w:lang w:val="en-GB"/>
        </w:rPr>
        <w:t>Developed by:</w:t>
      </w:r>
      <w:r w:rsidRPr="00D22989">
        <w:rPr>
          <w:lang w:val="en-GB"/>
        </w:rPr>
        <w:t xml:space="preserve"> Pablo Knobel, Payam </w:t>
      </w:r>
      <w:proofErr w:type="spellStart"/>
      <w:r w:rsidRPr="00D22989">
        <w:rPr>
          <w:lang w:val="en-GB"/>
        </w:rPr>
        <w:t>Dadvand</w:t>
      </w:r>
      <w:proofErr w:type="spellEnd"/>
      <w:r w:rsidRPr="00D22989">
        <w:rPr>
          <w:lang w:val="en-GB"/>
        </w:rPr>
        <w:t xml:space="preserve">, Lucia Alonso, Luis Costa, Maria Español and Roser Maneja. The study was led by researchers from ICTA-UAB, ISGlobal and the Forest Science and Technology Centre of Catalonia—CTFC. </w:t>
      </w:r>
    </w:p>
    <w:p w14:paraId="7FBDF3C9" w14:textId="77777777" w:rsidR="00D22989" w:rsidRPr="00D22989" w:rsidRDefault="00D22989" w:rsidP="00D22989">
      <w:pPr>
        <w:rPr>
          <w:lang w:val="en-GB"/>
        </w:rPr>
      </w:pPr>
      <w:r w:rsidRPr="00D22989">
        <w:rPr>
          <w:b/>
          <w:bCs/>
          <w:lang w:val="en-GB"/>
        </w:rPr>
        <w:t>Access:</w:t>
      </w:r>
      <w:r w:rsidRPr="00D22989">
        <w:rPr>
          <w:lang w:val="en-GB"/>
        </w:rPr>
        <w:t xml:space="preserve"> The tool is documented in a scientific article. The publisher provides the abstract and article information, while full-text access may require institutional access. The uploaded version contains the complete methodology, items and scoring system. </w:t>
      </w:r>
    </w:p>
    <w:p w14:paraId="353E5D28" w14:textId="77777777" w:rsidR="00D22989" w:rsidRPr="00D22989" w:rsidRDefault="00D22989" w:rsidP="00D22989">
      <w:pPr>
        <w:rPr>
          <w:lang w:val="en-GB"/>
        </w:rPr>
      </w:pPr>
      <w:r w:rsidRPr="00D22989">
        <w:rPr>
          <w:b/>
          <w:bCs/>
          <w:lang w:val="en-GB"/>
        </w:rPr>
        <w:t>Website:</w:t>
      </w:r>
      <w:r w:rsidRPr="00D22989">
        <w:rPr>
          <w:lang w:val="en-GB"/>
        </w:rPr>
        <w:t xml:space="preserve"> </w:t>
      </w:r>
      <w:hyperlink r:id="rId16" w:tgtFrame="_blank" w:history="1">
        <w:r w:rsidRPr="00D22989">
          <w:rPr>
            <w:rStyle w:val="Hyperlink"/>
            <w:lang w:val="en-GB"/>
          </w:rPr>
          <w:t>RECITAL research article</w:t>
        </w:r>
      </w:hyperlink>
      <w:r w:rsidRPr="00D22989">
        <w:rPr>
          <w:lang w:val="en-GB"/>
        </w:rPr>
        <w:t xml:space="preserve"> </w:t>
      </w:r>
    </w:p>
    <w:p w14:paraId="34889A2E" w14:textId="77777777" w:rsidR="00D22989" w:rsidRPr="00D22989" w:rsidRDefault="00D22989" w:rsidP="00D22989">
      <w:pPr>
        <w:rPr>
          <w:lang w:val="en-GB"/>
        </w:rPr>
      </w:pPr>
      <w:r w:rsidRPr="00D22989">
        <w:rPr>
          <w:b/>
          <w:bCs/>
          <w:lang w:val="en-GB"/>
        </w:rPr>
        <w:t>Key Areas:</w:t>
      </w:r>
      <w:r w:rsidRPr="00D22989">
        <w:rPr>
          <w:lang w:val="en-GB"/>
        </w:rPr>
        <w:t xml:space="preserve"> Surroundings; accessibility; facilities; amenities; aesthetics and attractions; incivilities; safety; potential uses; land cover; animal biodiversity; bird biodiversity. </w:t>
      </w:r>
    </w:p>
    <w:p w14:paraId="778F9799" w14:textId="77777777" w:rsidR="00D22989" w:rsidRPr="00D22989" w:rsidRDefault="00D22989" w:rsidP="00D22989">
      <w:r w:rsidRPr="00D22989">
        <w:rPr>
          <w:b/>
          <w:bCs/>
          <w:lang w:val="en-GB"/>
        </w:rPr>
        <w:t>Features:</w:t>
      </w:r>
      <w:r w:rsidRPr="00D22989">
        <w:rPr>
          <w:lang w:val="en-GB"/>
        </w:rPr>
        <w:t xml:space="preserve"> Ninety assessment items organised into eleven dimensions; five-point scoring scales; in-situ observation; results available as individual-item, dimension-level or overall scores; sections can be selected or adapted to local needs; tested in 149 urban green spaces in Barcelona; demonstrated good-to-excellent overall reliability. (</w:t>
      </w:r>
      <w:hyperlink r:id="rId17" w:tgtFrame="_blank" w:history="1">
        <w:r w:rsidRPr="00D22989">
          <w:rPr>
            <w:rStyle w:val="Hyperlink"/>
            <w:lang w:val="en-GB"/>
          </w:rPr>
          <w:t>uab.cat</w:t>
        </w:r>
      </w:hyperlink>
      <w:r w:rsidRPr="00D22989">
        <w:rPr>
          <w:lang w:val="en-GB"/>
        </w:rPr>
        <w:t>)</w:t>
      </w:r>
      <w:r w:rsidRPr="00D22989">
        <w:t xml:space="preserve"> </w:t>
      </w:r>
    </w:p>
    <w:p w14:paraId="5AB7ADF5" w14:textId="77777777" w:rsidR="00103305" w:rsidRDefault="00000000">
      <w:pPr>
        <w:spacing w:after="120"/>
      </w:pPr>
      <w:r>
        <w:rPr>
          <w:b/>
          <w:color w:val="1F4E79"/>
        </w:rPr>
        <w:t>Recommended use in BeCom: Structured observation of the physical and environmental quality of a community garden or comparable urban green space.</w:t>
      </w:r>
    </w:p>
    <w:p w14:paraId="53998710" w14:textId="77777777" w:rsidR="00D22989" w:rsidRPr="00D22989" w:rsidRDefault="00D22989" w:rsidP="00D22989">
      <w:r w:rsidRPr="00D22989">
        <w:t xml:space="preserve"> </w:t>
      </w:r>
    </w:p>
    <w:p w14:paraId="43DF62B4" w14:textId="77777777" w:rsidR="00B530C3" w:rsidRDefault="00B530C3"/>
    <w:sectPr w:rsidR="00B530C3">
      <w:head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4F654" w14:textId="77777777" w:rsidR="00C30463" w:rsidRDefault="00C30463" w:rsidP="00D22989">
      <w:pPr>
        <w:spacing w:after="0" w:line="240" w:lineRule="auto"/>
      </w:pPr>
      <w:r>
        <w:separator/>
      </w:r>
    </w:p>
  </w:endnote>
  <w:endnote w:type="continuationSeparator" w:id="0">
    <w:p w14:paraId="2F8C2275" w14:textId="77777777" w:rsidR="00C30463" w:rsidRDefault="00C30463" w:rsidP="00D22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93378" w14:textId="77777777" w:rsidR="00C30463" w:rsidRDefault="00C30463" w:rsidP="00D22989">
      <w:pPr>
        <w:spacing w:after="0" w:line="240" w:lineRule="auto"/>
      </w:pPr>
      <w:r>
        <w:separator/>
      </w:r>
    </w:p>
  </w:footnote>
  <w:footnote w:type="continuationSeparator" w:id="0">
    <w:p w14:paraId="370BD684" w14:textId="77777777" w:rsidR="00C30463" w:rsidRDefault="00C30463" w:rsidP="00D229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23D05" w14:textId="5DFB668E" w:rsidR="00D22989" w:rsidRDefault="00D22989" w:rsidP="00D75424">
    <w:pPr>
      <w:pStyle w:val="Kopfzeile"/>
    </w:pPr>
    <w:r>
      <w:rPr>
        <w:noProof/>
      </w:rPr>
      <w:drawing>
        <wp:inline distT="0" distB="0" distL="0" distR="0" wp14:anchorId="1D7CB0CF" wp14:editId="59005DA2">
          <wp:extent cx="1066800" cy="304800"/>
          <wp:effectExtent l="0" t="0" r="0" b="0"/>
          <wp:docPr id="1433395171" name="Grafik 9" descr="Imatge que conté Font, Gràfics, logotip, disseny gràfic&#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tge que conté Font, Gràfics, logotip, disseny gràfic&#10;&#10;Pot ser que el contingut generat per IA no sigui correc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304800"/>
                  </a:xfrm>
                  <a:prstGeom prst="rect">
                    <a:avLst/>
                  </a:prstGeom>
                  <a:noFill/>
                  <a:ln>
                    <a:noFill/>
                  </a:ln>
                </pic:spPr>
              </pic:pic>
            </a:graphicData>
          </a:graphic>
        </wp:inline>
      </w:drawing>
    </w:r>
    <w:r w:rsidR="00D75424">
      <w:tab/>
    </w:r>
    <w:r w:rsidR="00D75424">
      <w:tab/>
    </w:r>
    <w:proofErr w:type="spellStart"/>
    <w:r>
      <w:t>BeCom</w:t>
    </w:r>
    <w:proofErr w:type="spellEnd"/>
    <w:r>
      <w:t xml:space="preserve"> Community Gardening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55F3E"/>
    <w:multiLevelType w:val="multilevel"/>
    <w:tmpl w:val="4C5A8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9462FC"/>
    <w:multiLevelType w:val="multilevel"/>
    <w:tmpl w:val="2D02F7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ED0E89"/>
    <w:multiLevelType w:val="multilevel"/>
    <w:tmpl w:val="912A6E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7E5E20"/>
    <w:multiLevelType w:val="multilevel"/>
    <w:tmpl w:val="60CCED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6037E35"/>
    <w:multiLevelType w:val="multilevel"/>
    <w:tmpl w:val="F0523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AE6A6A"/>
    <w:multiLevelType w:val="multilevel"/>
    <w:tmpl w:val="5A585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1FA5BC4"/>
    <w:multiLevelType w:val="multilevel"/>
    <w:tmpl w:val="90D60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2230A91"/>
    <w:multiLevelType w:val="multilevel"/>
    <w:tmpl w:val="3AE499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7251616"/>
    <w:multiLevelType w:val="multilevel"/>
    <w:tmpl w:val="DFC2C4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7694816">
    <w:abstractNumId w:val="5"/>
  </w:num>
  <w:num w:numId="2" w16cid:durableId="423190260">
    <w:abstractNumId w:val="3"/>
  </w:num>
  <w:num w:numId="3" w16cid:durableId="440153544">
    <w:abstractNumId w:val="6"/>
  </w:num>
  <w:num w:numId="4" w16cid:durableId="794064302">
    <w:abstractNumId w:val="0"/>
  </w:num>
  <w:num w:numId="5" w16cid:durableId="93289359">
    <w:abstractNumId w:val="4"/>
  </w:num>
  <w:num w:numId="6" w16cid:durableId="44644109">
    <w:abstractNumId w:val="8"/>
  </w:num>
  <w:num w:numId="7" w16cid:durableId="47412892">
    <w:abstractNumId w:val="2"/>
  </w:num>
  <w:num w:numId="8" w16cid:durableId="434177847">
    <w:abstractNumId w:val="1"/>
  </w:num>
  <w:num w:numId="9" w16cid:durableId="20744276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989"/>
    <w:rsid w:val="00103305"/>
    <w:rsid w:val="001D0E12"/>
    <w:rsid w:val="00927138"/>
    <w:rsid w:val="00B40E30"/>
    <w:rsid w:val="00B530C3"/>
    <w:rsid w:val="00C30463"/>
    <w:rsid w:val="00D22989"/>
    <w:rsid w:val="00D75424"/>
    <w:rsid w:val="00E000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B7AA5"/>
  <w15:chartTrackingRefBased/>
  <w15:docId w15:val="{D25772C7-BEF1-4AD5-9CB5-1CDFB065A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229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229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2298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2298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2298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2298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2298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2298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2298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2298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2298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2298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2298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2298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2298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2298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2298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22989"/>
    <w:rPr>
      <w:rFonts w:eastAsiaTheme="majorEastAsia" w:cstheme="majorBidi"/>
      <w:color w:val="272727" w:themeColor="text1" w:themeTint="D8"/>
    </w:rPr>
  </w:style>
  <w:style w:type="paragraph" w:styleId="Titel">
    <w:name w:val="Title"/>
    <w:basedOn w:val="Standard"/>
    <w:next w:val="Standard"/>
    <w:link w:val="TitelZchn"/>
    <w:uiPriority w:val="10"/>
    <w:qFormat/>
    <w:rsid w:val="00D229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2298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2298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2298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2298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22989"/>
    <w:rPr>
      <w:i/>
      <w:iCs/>
      <w:color w:val="404040" w:themeColor="text1" w:themeTint="BF"/>
    </w:rPr>
  </w:style>
  <w:style w:type="paragraph" w:styleId="Listenabsatz">
    <w:name w:val="List Paragraph"/>
    <w:basedOn w:val="Standard"/>
    <w:uiPriority w:val="34"/>
    <w:qFormat/>
    <w:rsid w:val="00D22989"/>
    <w:pPr>
      <w:ind w:left="720"/>
      <w:contextualSpacing/>
    </w:pPr>
  </w:style>
  <w:style w:type="character" w:styleId="IntensiveHervorhebung">
    <w:name w:val="Intense Emphasis"/>
    <w:basedOn w:val="Absatz-Standardschriftart"/>
    <w:uiPriority w:val="21"/>
    <w:qFormat/>
    <w:rsid w:val="00D22989"/>
    <w:rPr>
      <w:i/>
      <w:iCs/>
      <w:color w:val="0F4761" w:themeColor="accent1" w:themeShade="BF"/>
    </w:rPr>
  </w:style>
  <w:style w:type="paragraph" w:styleId="IntensivesZitat">
    <w:name w:val="Intense Quote"/>
    <w:basedOn w:val="Standard"/>
    <w:next w:val="Standard"/>
    <w:link w:val="IntensivesZitatZchn"/>
    <w:uiPriority w:val="30"/>
    <w:qFormat/>
    <w:rsid w:val="00D229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22989"/>
    <w:rPr>
      <w:i/>
      <w:iCs/>
      <w:color w:val="0F4761" w:themeColor="accent1" w:themeShade="BF"/>
    </w:rPr>
  </w:style>
  <w:style w:type="character" w:styleId="IntensiverVerweis">
    <w:name w:val="Intense Reference"/>
    <w:basedOn w:val="Absatz-Standardschriftart"/>
    <w:uiPriority w:val="32"/>
    <w:qFormat/>
    <w:rsid w:val="00D22989"/>
    <w:rPr>
      <w:b/>
      <w:bCs/>
      <w:smallCaps/>
      <w:color w:val="0F4761" w:themeColor="accent1" w:themeShade="BF"/>
      <w:spacing w:val="5"/>
    </w:rPr>
  </w:style>
  <w:style w:type="character" w:styleId="Hyperlink">
    <w:name w:val="Hyperlink"/>
    <w:basedOn w:val="Absatz-Standardschriftart"/>
    <w:uiPriority w:val="99"/>
    <w:unhideWhenUsed/>
    <w:rsid w:val="00D22989"/>
    <w:rPr>
      <w:color w:val="467886" w:themeColor="hyperlink"/>
      <w:u w:val="single"/>
    </w:rPr>
  </w:style>
  <w:style w:type="character" w:styleId="NichtaufgelsteErwhnung">
    <w:name w:val="Unresolved Mention"/>
    <w:basedOn w:val="Absatz-Standardschriftart"/>
    <w:uiPriority w:val="99"/>
    <w:semiHidden/>
    <w:unhideWhenUsed/>
    <w:rsid w:val="00D22989"/>
    <w:rPr>
      <w:color w:val="605E5C"/>
      <w:shd w:val="clear" w:color="auto" w:fill="E1DFDD"/>
    </w:rPr>
  </w:style>
  <w:style w:type="paragraph" w:styleId="Kopfzeile">
    <w:name w:val="header"/>
    <w:basedOn w:val="Standard"/>
    <w:link w:val="KopfzeileZchn"/>
    <w:uiPriority w:val="99"/>
    <w:unhideWhenUsed/>
    <w:rsid w:val="00D229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22989"/>
  </w:style>
  <w:style w:type="paragraph" w:styleId="Fuzeile">
    <w:name w:val="footer"/>
    <w:basedOn w:val="Standard"/>
    <w:link w:val="FuzeileZchn"/>
    <w:uiPriority w:val="99"/>
    <w:unhideWhenUsed/>
    <w:rsid w:val="00D2298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29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rmingconcrete.org/barn/data-collection-toolkit/" TargetMode="External"/><Relationship Id="rId13" Type="http://schemas.openxmlformats.org/officeDocument/2006/relationships/hyperlink" Target="https://www.diba.cat/ca/web/benestar/-/guies-per-al-desenvolupament-i-l-avaluacio-dels-horts-socials"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armingconcrete.org/barn/data-collection-toolkit/" TargetMode="External"/><Relationship Id="rId12" Type="http://schemas.openxmlformats.org/officeDocument/2006/relationships/hyperlink" Target="https://www.diba.cat/ca/web/igualtat-ciutadania/-/guia-per-a-l-avaluacio-de-l-impacte-dels-programes-d-horts-socials" TargetMode="External"/><Relationship Id="rId17" Type="http://schemas.openxmlformats.org/officeDocument/2006/relationships/hyperlink" Target="https://www.uab.cat/web/sala-de-premsa/detall-de-noticia/una-nova-eina-permet-mesurar-la-qualitat-dels-espais-verds-urbans-1345667174054.html?noticiaid=1345832606615" TargetMode="External"/><Relationship Id="rId2" Type="http://schemas.openxmlformats.org/officeDocument/2006/relationships/styles" Target="styles.xml"/><Relationship Id="rId16" Type="http://schemas.openxmlformats.org/officeDocument/2006/relationships/hyperlink" Target="https://doi.org/10.1016/j.ufug.2020.126895"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iba.cat/en/web/entorn-urba-i-salut/-/community-garden-social-impact-assessment-toolkit" TargetMode="External"/><Relationship Id="rId5" Type="http://schemas.openxmlformats.org/officeDocument/2006/relationships/footnotes" Target="footnotes.xml"/><Relationship Id="rId15" Type="http://schemas.openxmlformats.org/officeDocument/2006/relationships/hyperlink" Target="https://www.greeninclusion.eu/publication" TargetMode="External"/><Relationship Id="rId10" Type="http://schemas.openxmlformats.org/officeDocument/2006/relationships/hyperlink" Target="https://conservancy.umn.edu/handle/11299/20390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greeninclusio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1366</Words>
  <Characters>8606</Characters>
  <Application>Microsoft Office Word</Application>
  <DocSecurity>0</DocSecurity>
  <Lines>71</Lines>
  <Paragraphs>19</Paragraphs>
  <ScaleCrop>false</ScaleCrop>
  <Company/>
  <LinksUpToDate>false</LinksUpToDate>
  <CharactersWithSpaces>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Ralf Sachsenmaier</dc:creator>
  <cp:keywords/>
  <dc:description/>
  <cp:lastModifiedBy>Ralf Sachsenmaier</cp:lastModifiedBy>
  <cp:revision>2</cp:revision>
  <dcterms:created xsi:type="dcterms:W3CDTF">2026-09-20T14:08:00Z</dcterms:created>
  <dcterms:modified xsi:type="dcterms:W3CDTF">2026-09-20T17:33:00Z</dcterms:modified>
</cp:coreProperties>
</file>